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6968" w14:textId="77777777" w:rsidR="00B67DE1" w:rsidRDefault="0080679E">
      <w:pPr>
        <w:tabs>
          <w:tab w:val="left" w:pos="5175"/>
          <w:tab w:val="left" w:pos="9939"/>
        </w:tabs>
        <w:spacing w:before="54"/>
        <w:ind w:left="135"/>
        <w:rPr>
          <w:rFonts w:ascii="Times New Roman" w:eastAsia="Times New Roman" w:hAnsi="Times New Roman" w:cs="Times New Roman"/>
          <w:sz w:val="24"/>
          <w:szCs w:val="24"/>
        </w:rPr>
      </w:pPr>
      <w:r>
        <w:rPr>
          <w:rFonts w:ascii="Arial"/>
          <w:b/>
          <w:sz w:val="24"/>
        </w:rPr>
        <w:t xml:space="preserve">CHIEF </w:t>
      </w:r>
      <w:r>
        <w:rPr>
          <w:rFonts w:ascii="Arial"/>
          <w:b/>
          <w:spacing w:val="-1"/>
          <w:sz w:val="24"/>
        </w:rPr>
        <w:t>SPONSOR:</w:t>
      </w:r>
      <w:r>
        <w:rPr>
          <w:rFonts w:ascii="Arial"/>
          <w:sz w:val="24"/>
        </w:rPr>
        <w:tab/>
      </w:r>
      <w:r>
        <w:rPr>
          <w:rFonts w:ascii="Arial"/>
          <w:b/>
          <w:spacing w:val="-1"/>
          <w:sz w:val="24"/>
        </w:rPr>
        <w:t>HOUSE/SENATE</w:t>
      </w:r>
      <w:r>
        <w:rPr>
          <w:rFonts w:ascii="Arial"/>
          <w:b/>
          <w:sz w:val="24"/>
        </w:rPr>
        <w:t xml:space="preserve"> BILL #</w:t>
      </w:r>
      <w:r>
        <w:rPr>
          <w:rFonts w:ascii="Arial"/>
          <w:b/>
          <w:spacing w:val="1"/>
          <w:sz w:val="24"/>
        </w:rPr>
        <w:t xml:space="preserve"> </w:t>
      </w:r>
      <w:r>
        <w:rPr>
          <w:rFonts w:ascii="Times New Roman"/>
          <w:sz w:val="24"/>
          <w:u w:val="single" w:color="000000"/>
        </w:rPr>
        <w:t xml:space="preserve"> </w:t>
      </w:r>
      <w:r>
        <w:rPr>
          <w:rFonts w:ascii="Times New Roman"/>
          <w:sz w:val="24"/>
          <w:u w:val="single" w:color="000000"/>
        </w:rPr>
        <w:tab/>
      </w:r>
    </w:p>
    <w:p w14:paraId="4F90BCC8" w14:textId="77777777" w:rsidR="00B67DE1" w:rsidRDefault="0080679E">
      <w:pPr>
        <w:tabs>
          <w:tab w:val="left" w:pos="4455"/>
          <w:tab w:val="left" w:pos="9153"/>
        </w:tabs>
        <w:spacing w:before="137"/>
        <w:ind w:left="135"/>
        <w:rPr>
          <w:rFonts w:ascii="Times New Roman" w:eastAsia="Times New Roman" w:hAnsi="Times New Roman" w:cs="Times New Roman"/>
          <w:sz w:val="24"/>
          <w:szCs w:val="24"/>
        </w:rPr>
      </w:pPr>
      <w:r>
        <w:rPr>
          <w:rFonts w:ascii="Arial"/>
          <w:b/>
          <w:sz w:val="24"/>
        </w:rPr>
        <w:t>CO-SPONSORS:</w:t>
      </w:r>
      <w:r>
        <w:rPr>
          <w:rFonts w:ascii="Arial"/>
          <w:spacing w:val="-1"/>
          <w:sz w:val="24"/>
        </w:rPr>
        <w:tab/>
      </w:r>
      <w:r>
        <w:rPr>
          <w:rFonts w:ascii="Arial"/>
          <w:b/>
          <w:sz w:val="24"/>
        </w:rPr>
        <w:t xml:space="preserve">REFERRED TO COMMITTEE # </w:t>
      </w:r>
      <w:r>
        <w:rPr>
          <w:rFonts w:ascii="Times New Roman"/>
          <w:sz w:val="24"/>
          <w:u w:val="single" w:color="000000"/>
        </w:rPr>
        <w:t xml:space="preserve"> </w:t>
      </w:r>
      <w:r>
        <w:rPr>
          <w:rFonts w:ascii="Times New Roman"/>
          <w:sz w:val="24"/>
          <w:u w:val="single" w:color="000000"/>
        </w:rPr>
        <w:tab/>
      </w:r>
    </w:p>
    <w:p w14:paraId="7EA72430" w14:textId="5BDE2F7E" w:rsidR="00B67DE1" w:rsidRDefault="0080679E">
      <w:pPr>
        <w:tabs>
          <w:tab w:val="left" w:pos="4455"/>
          <w:tab w:val="left" w:pos="9099"/>
        </w:tabs>
        <w:spacing w:before="139"/>
        <w:ind w:left="135"/>
        <w:rPr>
          <w:rFonts w:ascii="Times New Roman" w:eastAsia="Times New Roman" w:hAnsi="Times New Roman" w:cs="Times New Roman"/>
          <w:sz w:val="24"/>
          <w:szCs w:val="24"/>
        </w:rPr>
      </w:pPr>
      <w:r>
        <w:rPr>
          <w:rFonts w:ascii="Arial"/>
          <w:b/>
          <w:sz w:val="24"/>
        </w:rPr>
        <w:t xml:space="preserve">CITY: </w:t>
      </w:r>
      <w:r>
        <w:rPr>
          <w:rFonts w:ascii="Arial"/>
          <w:sz w:val="24"/>
        </w:rPr>
        <w:t>Hobbs Knob</w:t>
      </w:r>
      <w:r w:rsidR="00804E05">
        <w:rPr>
          <w:rFonts w:ascii="Arial"/>
          <w:sz w:val="24"/>
        </w:rPr>
        <w:t>s</w:t>
      </w:r>
      <w:r>
        <w:rPr>
          <w:rFonts w:ascii="Arial"/>
          <w:sz w:val="24"/>
        </w:rPr>
        <w:tab/>
      </w:r>
      <w:r>
        <w:rPr>
          <w:rFonts w:ascii="Arial"/>
          <w:b/>
          <w:spacing w:val="-1"/>
          <w:sz w:val="24"/>
        </w:rPr>
        <w:t>ACTION</w:t>
      </w:r>
      <w:r>
        <w:rPr>
          <w:rFonts w:ascii="Arial"/>
          <w:b/>
          <w:sz w:val="24"/>
        </w:rPr>
        <w:t xml:space="preserve"> ON THE BILL:</w:t>
      </w:r>
      <w:r>
        <w:rPr>
          <w:rFonts w:ascii="Arial"/>
          <w:b/>
          <w:spacing w:val="1"/>
          <w:sz w:val="24"/>
        </w:rPr>
        <w:t xml:space="preserve"> </w:t>
      </w:r>
      <w:r>
        <w:rPr>
          <w:rFonts w:ascii="Times New Roman"/>
          <w:sz w:val="24"/>
          <w:u w:val="single" w:color="000000"/>
        </w:rPr>
        <w:t xml:space="preserve"> </w:t>
      </w:r>
      <w:r>
        <w:rPr>
          <w:rFonts w:ascii="Times New Roman"/>
          <w:sz w:val="24"/>
          <w:u w:val="single" w:color="000000"/>
        </w:rPr>
        <w:tab/>
      </w:r>
    </w:p>
    <w:p w14:paraId="6D2435FA" w14:textId="77777777" w:rsidR="00B67DE1" w:rsidRDefault="00B67DE1">
      <w:pPr>
        <w:rPr>
          <w:rFonts w:ascii="Times New Roman" w:eastAsia="Times New Roman" w:hAnsi="Times New Roman" w:cs="Times New Roman"/>
          <w:sz w:val="20"/>
          <w:szCs w:val="20"/>
        </w:rPr>
      </w:pPr>
    </w:p>
    <w:p w14:paraId="2137B16E" w14:textId="77777777" w:rsidR="00B67DE1" w:rsidRDefault="00B67DE1">
      <w:pPr>
        <w:spacing w:before="11"/>
        <w:rPr>
          <w:rFonts w:ascii="Times New Roman" w:eastAsia="Times New Roman" w:hAnsi="Times New Roman" w:cs="Times New Roman"/>
          <w:sz w:val="10"/>
          <w:szCs w:val="10"/>
        </w:rPr>
      </w:pPr>
    </w:p>
    <w:p w14:paraId="709E9B4E" w14:textId="77777777" w:rsidR="00B67DE1" w:rsidRDefault="0080679E">
      <w:pPr>
        <w:spacing w:line="40" w:lineRule="atLeast"/>
        <w:ind w:left="113"/>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42877FF2" wp14:editId="6344374F">
                <wp:extent cx="5515610" cy="29210"/>
                <wp:effectExtent l="8255" t="5715" r="635" b="3175"/>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5610" cy="29210"/>
                          <a:chOff x="0" y="0"/>
                          <a:chExt cx="8686" cy="46"/>
                        </a:xfrm>
                      </wpg:grpSpPr>
                      <wpg:grpSp>
                        <wpg:cNvPr id="2" name="Group 10"/>
                        <wpg:cNvGrpSpPr>
                          <a:grpSpLocks/>
                        </wpg:cNvGrpSpPr>
                        <wpg:grpSpPr bwMode="auto">
                          <a:xfrm>
                            <a:off x="23" y="23"/>
                            <a:ext cx="8640" cy="2"/>
                            <a:chOff x="23" y="23"/>
                            <a:chExt cx="8640" cy="2"/>
                          </a:xfrm>
                        </wpg:grpSpPr>
                        <wps:wsp>
                          <wps:cNvPr id="3" name="Freeform 11"/>
                          <wps:cNvSpPr>
                            <a:spLocks/>
                          </wps:cNvSpPr>
                          <wps:spPr bwMode="auto">
                            <a:xfrm>
                              <a:off x="23" y="23"/>
                              <a:ext cx="8640" cy="2"/>
                            </a:xfrm>
                            <a:custGeom>
                              <a:avLst/>
                              <a:gdLst>
                                <a:gd name="T0" fmla="+- 0 23 23"/>
                                <a:gd name="T1" fmla="*/ T0 w 8640"/>
                                <a:gd name="T2" fmla="+- 0 8663 23"/>
                                <a:gd name="T3" fmla="*/ T2 w 8640"/>
                              </a:gdLst>
                              <a:ahLst/>
                              <a:cxnLst>
                                <a:cxn ang="0">
                                  <a:pos x="T1" y="0"/>
                                </a:cxn>
                                <a:cxn ang="0">
                                  <a:pos x="T3" y="0"/>
                                </a:cxn>
                              </a:cxnLst>
                              <a:rect l="0" t="0" r="r" b="b"/>
                              <a:pathLst>
                                <a:path w="8640">
                                  <a:moveTo>
                                    <a:pt x="0" y="0"/>
                                  </a:moveTo>
                                  <a:lnTo>
                                    <a:pt x="8640" y="0"/>
                                  </a:lnTo>
                                </a:path>
                              </a:pathLst>
                            </a:custGeom>
                            <a:noFill/>
                            <a:ln w="2895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14CCEE" id="Group 9" o:spid="_x0000_s1026" style="width:434.3pt;height:2.3pt;mso-position-horizontal-relative:char;mso-position-vertical-relative:line" coordsize="86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">
                <v:group id="Group 10" o:spid="_x0000_s1027" style="position:absolute;left:23;top:23;width:8640;height:2" coordorigin="23,23"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 o:spid="_x0000_s1028" style="position:absolute;left:23;top:23;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" path="m,l8640,e" filled="f" strokeweight="2.28pt">
                    <v:path arrowok="t" o:connecttype="custom" o:connectlocs="0,0;8640,0" o:connectangles="0,0"/>
                  </v:shape>
                </v:group>
                <w10:anchorlock/>
              </v:group>
            </w:pict>
          </mc:Fallback>
        </mc:AlternateContent>
      </w:r>
    </w:p>
    <w:p w14:paraId="0FB8F115" w14:textId="77777777" w:rsidR="00B67DE1" w:rsidRDefault="00B67DE1">
      <w:pPr>
        <w:spacing w:before="6"/>
        <w:rPr>
          <w:rFonts w:ascii="Times New Roman" w:eastAsia="Times New Roman" w:hAnsi="Times New Roman" w:cs="Times New Roman"/>
          <w:sz w:val="6"/>
          <w:szCs w:val="6"/>
        </w:rPr>
      </w:pPr>
    </w:p>
    <w:p w14:paraId="45055BEA" w14:textId="399A3D61" w:rsidR="00B67DE1" w:rsidRDefault="0080679E">
      <w:pPr>
        <w:spacing w:before="69"/>
        <w:ind w:left="135"/>
        <w:rPr>
          <w:rFonts w:ascii="Arial" w:eastAsia="Arial" w:hAnsi="Arial" w:cs="Arial"/>
          <w:sz w:val="24"/>
          <w:szCs w:val="24"/>
        </w:rPr>
      </w:pPr>
      <w:r>
        <w:rPr>
          <w:rFonts w:ascii="Arial"/>
          <w:b/>
          <w:sz w:val="24"/>
        </w:rPr>
        <w:t>Title:</w:t>
      </w:r>
      <w:r>
        <w:rPr>
          <w:rFonts w:ascii="Arial"/>
          <w:b/>
          <w:spacing w:val="3"/>
          <w:sz w:val="24"/>
        </w:rPr>
        <w:t xml:space="preserve"> </w:t>
      </w:r>
      <w:r w:rsidR="00C0738E">
        <w:rPr>
          <w:rFonts w:ascii="Arial"/>
          <w:spacing w:val="-1"/>
          <w:sz w:val="24"/>
        </w:rPr>
        <w:t>Ensuring Agriculture Education for the Students of Kentucky.</w:t>
      </w:r>
    </w:p>
    <w:p w14:paraId="79A3FD11" w14:textId="77777777" w:rsidR="00B67DE1" w:rsidRDefault="00B67DE1">
      <w:pPr>
        <w:rPr>
          <w:rFonts w:ascii="Arial" w:eastAsia="Arial" w:hAnsi="Arial" w:cs="Arial"/>
          <w:sz w:val="24"/>
          <w:szCs w:val="24"/>
        </w:rPr>
      </w:pPr>
    </w:p>
    <w:p w14:paraId="233065F2" w14:textId="77777777" w:rsidR="00B67DE1" w:rsidRDefault="00B67DE1">
      <w:pPr>
        <w:rPr>
          <w:rFonts w:ascii="Arial" w:eastAsia="Arial" w:hAnsi="Arial" w:cs="Arial"/>
          <w:sz w:val="24"/>
          <w:szCs w:val="24"/>
        </w:rPr>
      </w:pPr>
    </w:p>
    <w:p w14:paraId="12C3B6A1" w14:textId="77777777" w:rsidR="00B67DE1" w:rsidRDefault="0080679E">
      <w:pPr>
        <w:spacing w:line="359" w:lineRule="auto"/>
        <w:ind w:left="135" w:right="110"/>
        <w:rPr>
          <w:rFonts w:ascii="Arial" w:eastAsia="Arial" w:hAnsi="Arial" w:cs="Arial"/>
          <w:sz w:val="24"/>
          <w:szCs w:val="24"/>
        </w:rPr>
      </w:pPr>
      <w:r>
        <w:rPr>
          <w:rFonts w:ascii="Arial"/>
          <w:b/>
          <w:spacing w:val="-1"/>
          <w:sz w:val="24"/>
        </w:rPr>
        <w:t>ENACTING</w:t>
      </w:r>
      <w:r>
        <w:rPr>
          <w:rFonts w:ascii="Arial"/>
          <w:b/>
          <w:sz w:val="24"/>
        </w:rPr>
        <w:t xml:space="preserve"> CLAUSE BE IT</w:t>
      </w:r>
      <w:r>
        <w:rPr>
          <w:rFonts w:ascii="Arial"/>
          <w:b/>
          <w:spacing w:val="2"/>
          <w:sz w:val="24"/>
        </w:rPr>
        <w:t xml:space="preserve"> </w:t>
      </w:r>
      <w:r>
        <w:rPr>
          <w:rFonts w:ascii="Arial"/>
          <w:b/>
          <w:spacing w:val="-1"/>
          <w:sz w:val="24"/>
        </w:rPr>
        <w:t>HEAREBY</w:t>
      </w:r>
      <w:r>
        <w:rPr>
          <w:rFonts w:ascii="Arial"/>
          <w:b/>
          <w:sz w:val="24"/>
        </w:rPr>
        <w:t xml:space="preserve"> ENACTED BY </w:t>
      </w:r>
      <w:r>
        <w:rPr>
          <w:rFonts w:ascii="Arial"/>
          <w:b/>
          <w:spacing w:val="-1"/>
          <w:sz w:val="24"/>
        </w:rPr>
        <w:t>THE</w:t>
      </w:r>
      <w:r>
        <w:rPr>
          <w:rFonts w:ascii="Arial"/>
          <w:b/>
          <w:sz w:val="24"/>
        </w:rPr>
        <w:t xml:space="preserve"> HOUSE OF</w:t>
      </w:r>
      <w:r>
        <w:rPr>
          <w:rFonts w:ascii="Arial"/>
          <w:b/>
          <w:spacing w:val="2"/>
          <w:sz w:val="24"/>
        </w:rPr>
        <w:t xml:space="preserve"> </w:t>
      </w:r>
      <w:r>
        <w:rPr>
          <w:rFonts w:ascii="Arial"/>
          <w:b/>
          <w:spacing w:val="-1"/>
          <w:sz w:val="24"/>
        </w:rPr>
        <w:t>KENTUCKY</w:t>
      </w:r>
      <w:r>
        <w:rPr>
          <w:rFonts w:ascii="Arial"/>
          <w:b/>
          <w:spacing w:val="30"/>
          <w:sz w:val="24"/>
        </w:rPr>
        <w:t xml:space="preserve"> </w:t>
      </w:r>
      <w:r>
        <w:rPr>
          <w:rFonts w:ascii="Arial"/>
          <w:b/>
          <w:sz w:val="24"/>
        </w:rPr>
        <w:t xml:space="preserve">GIRLS </w:t>
      </w:r>
      <w:r>
        <w:rPr>
          <w:rFonts w:ascii="Arial"/>
          <w:b/>
          <w:spacing w:val="-1"/>
          <w:sz w:val="24"/>
        </w:rPr>
        <w:t>STATE</w:t>
      </w:r>
      <w:r>
        <w:rPr>
          <w:rFonts w:ascii="Arial"/>
          <w:b/>
          <w:spacing w:val="5"/>
          <w:sz w:val="24"/>
        </w:rPr>
        <w:t xml:space="preserve"> </w:t>
      </w:r>
      <w:r>
        <w:rPr>
          <w:rFonts w:ascii="Arial"/>
          <w:b/>
          <w:spacing w:val="-1"/>
          <w:sz w:val="24"/>
        </w:rPr>
        <w:t>ASSEMBLED,</w:t>
      </w:r>
      <w:r>
        <w:rPr>
          <w:rFonts w:ascii="Arial"/>
          <w:b/>
          <w:sz w:val="24"/>
        </w:rPr>
        <w:t xml:space="preserve"> That</w:t>
      </w:r>
    </w:p>
    <w:p w14:paraId="7941FD6D" w14:textId="77777777" w:rsidR="00B67DE1" w:rsidRDefault="00B67DE1">
      <w:pPr>
        <w:rPr>
          <w:rFonts w:ascii="Arial" w:eastAsia="Arial" w:hAnsi="Arial" w:cs="Arial"/>
          <w:b/>
          <w:bCs/>
          <w:sz w:val="24"/>
          <w:szCs w:val="24"/>
        </w:rPr>
      </w:pPr>
    </w:p>
    <w:p w14:paraId="73A42E9D" w14:textId="2B92EFD5" w:rsidR="00B67DE1" w:rsidRPr="005669F4" w:rsidRDefault="0080679E">
      <w:pPr>
        <w:pStyle w:val="BodyText"/>
        <w:tabs>
          <w:tab w:val="left" w:pos="9786"/>
        </w:tabs>
        <w:spacing w:before="143" w:line="360" w:lineRule="auto"/>
        <w:ind w:right="194"/>
      </w:pPr>
      <w:r>
        <w:rPr>
          <w:b/>
        </w:rPr>
        <w:t xml:space="preserve">Section I: </w:t>
      </w:r>
      <w:r w:rsidR="00C0738E">
        <w:t>The economy of the Commonwealth of Kentucky is inherently tied to its agricultural roots. As such the Legislature has a vital interest in ensuring that Kentucky’s students have an understanding of the agricultural industries that support the communities throughout the Commonwealth.</w:t>
      </w:r>
    </w:p>
    <w:p w14:paraId="7C9D2C27" w14:textId="77777777" w:rsidR="00CC6636" w:rsidRDefault="00CC6636">
      <w:pPr>
        <w:rPr>
          <w:rFonts w:ascii="Arial" w:eastAsia="Arial" w:hAnsi="Arial" w:cs="Arial"/>
          <w:sz w:val="24"/>
          <w:szCs w:val="24"/>
        </w:rPr>
      </w:pPr>
    </w:p>
    <w:p w14:paraId="34B3BC65" w14:textId="1299492B" w:rsidR="00B67DE1" w:rsidRDefault="00CC6636" w:rsidP="00E43912">
      <w:pPr>
        <w:tabs>
          <w:tab w:val="left" w:pos="11160"/>
        </w:tabs>
        <w:spacing w:line="360" w:lineRule="auto"/>
        <w:ind w:left="461" w:right="274" w:hanging="274"/>
        <w:rPr>
          <w:rFonts w:ascii="Arial" w:eastAsia="Arial" w:hAnsi="Arial" w:cs="Arial"/>
          <w:sz w:val="24"/>
          <w:szCs w:val="24"/>
        </w:rPr>
      </w:pPr>
      <w:r w:rsidRPr="00E43912">
        <w:rPr>
          <w:rFonts w:ascii="Arial" w:eastAsia="Arial" w:hAnsi="Arial" w:cs="Arial"/>
          <w:b/>
          <w:sz w:val="24"/>
          <w:szCs w:val="24"/>
        </w:rPr>
        <w:t>Section II:</w:t>
      </w:r>
      <w:r>
        <w:rPr>
          <w:rFonts w:ascii="Arial" w:eastAsia="Arial" w:hAnsi="Arial" w:cs="Arial"/>
          <w:sz w:val="24"/>
          <w:szCs w:val="24"/>
        </w:rPr>
        <w:t xml:space="preserve"> </w:t>
      </w:r>
      <w:r w:rsidR="00C0738E">
        <w:rPr>
          <w:rFonts w:ascii="Arial" w:eastAsia="Arial" w:hAnsi="Arial" w:cs="Arial"/>
          <w:sz w:val="24"/>
          <w:szCs w:val="24"/>
        </w:rPr>
        <w:t>Beginning in the 20</w:t>
      </w:r>
      <w:r w:rsidR="00804E05">
        <w:rPr>
          <w:rFonts w:ascii="Arial" w:eastAsia="Arial" w:hAnsi="Arial" w:cs="Arial"/>
          <w:sz w:val="24"/>
          <w:szCs w:val="24"/>
        </w:rPr>
        <w:t>2</w:t>
      </w:r>
      <w:r w:rsidR="009C3D89">
        <w:rPr>
          <w:rFonts w:ascii="Arial" w:eastAsia="Arial" w:hAnsi="Arial" w:cs="Arial"/>
          <w:sz w:val="24"/>
          <w:szCs w:val="24"/>
        </w:rPr>
        <w:t>1</w:t>
      </w:r>
      <w:r w:rsidR="00C0738E">
        <w:rPr>
          <w:rFonts w:ascii="Arial" w:eastAsia="Arial" w:hAnsi="Arial" w:cs="Arial"/>
          <w:sz w:val="24"/>
          <w:szCs w:val="24"/>
        </w:rPr>
        <w:t>-20</w:t>
      </w:r>
      <w:r w:rsidR="00804E05">
        <w:rPr>
          <w:rFonts w:ascii="Arial" w:eastAsia="Arial" w:hAnsi="Arial" w:cs="Arial"/>
          <w:sz w:val="24"/>
          <w:szCs w:val="24"/>
        </w:rPr>
        <w:t>2</w:t>
      </w:r>
      <w:r w:rsidR="009C3D89">
        <w:rPr>
          <w:rFonts w:ascii="Arial" w:eastAsia="Arial" w:hAnsi="Arial" w:cs="Arial"/>
          <w:sz w:val="24"/>
          <w:szCs w:val="24"/>
        </w:rPr>
        <w:t>2</w:t>
      </w:r>
      <w:r w:rsidR="00C0738E">
        <w:rPr>
          <w:rFonts w:ascii="Arial" w:eastAsia="Arial" w:hAnsi="Arial" w:cs="Arial"/>
          <w:sz w:val="24"/>
          <w:szCs w:val="24"/>
        </w:rPr>
        <w:t xml:space="preserve"> school year, each high school student who attends an institution, which receives funding from the Commonwealth, shall be required to complete a 12</w:t>
      </w:r>
      <w:r w:rsidR="009C3D89">
        <w:rPr>
          <w:rFonts w:ascii="Arial" w:eastAsia="Arial" w:hAnsi="Arial" w:cs="Arial"/>
          <w:sz w:val="24"/>
          <w:szCs w:val="24"/>
        </w:rPr>
        <w:t>-</w:t>
      </w:r>
      <w:r w:rsidR="00C0738E">
        <w:rPr>
          <w:rFonts w:ascii="Arial" w:eastAsia="Arial" w:hAnsi="Arial" w:cs="Arial"/>
          <w:sz w:val="24"/>
          <w:szCs w:val="24"/>
        </w:rPr>
        <w:t xml:space="preserve"> week course on various aspects of the Commonwealth’s agricultural industries. This course shall be developed </w:t>
      </w:r>
      <w:r w:rsidR="004678C7">
        <w:rPr>
          <w:rFonts w:ascii="Arial" w:eastAsia="Arial" w:hAnsi="Arial" w:cs="Arial"/>
          <w:sz w:val="24"/>
          <w:szCs w:val="24"/>
        </w:rPr>
        <w:t xml:space="preserve">by the Kentucky Board of Education and provided to the various districts throughout the Commonwealth. </w:t>
      </w:r>
    </w:p>
    <w:p w14:paraId="4415F059" w14:textId="77777777" w:rsidR="004678C7" w:rsidRDefault="004678C7" w:rsidP="00E43912">
      <w:pPr>
        <w:tabs>
          <w:tab w:val="left" w:pos="11160"/>
        </w:tabs>
        <w:spacing w:line="360" w:lineRule="auto"/>
        <w:ind w:left="461" w:right="274" w:hanging="274"/>
        <w:rPr>
          <w:rFonts w:ascii="Arial" w:eastAsia="Arial" w:hAnsi="Arial" w:cs="Arial"/>
          <w:sz w:val="24"/>
          <w:szCs w:val="24"/>
        </w:rPr>
      </w:pPr>
    </w:p>
    <w:p w14:paraId="18B25C21" w14:textId="680E9DA2" w:rsidR="004678C7" w:rsidRDefault="004678C7" w:rsidP="00E43912">
      <w:pPr>
        <w:tabs>
          <w:tab w:val="left" w:pos="11160"/>
        </w:tabs>
        <w:spacing w:line="360" w:lineRule="auto"/>
        <w:ind w:left="461" w:right="274" w:hanging="274"/>
        <w:rPr>
          <w:rFonts w:ascii="Arial" w:eastAsia="Arial" w:hAnsi="Arial" w:cs="Arial"/>
          <w:sz w:val="24"/>
          <w:szCs w:val="24"/>
        </w:rPr>
      </w:pPr>
      <w:r>
        <w:rPr>
          <w:rFonts w:ascii="Arial" w:eastAsia="Arial" w:hAnsi="Arial" w:cs="Arial"/>
          <w:sz w:val="24"/>
          <w:szCs w:val="24"/>
        </w:rPr>
        <w:tab/>
        <w:t>Topics to be covered in the 12</w:t>
      </w:r>
      <w:r w:rsidR="00804E05">
        <w:rPr>
          <w:rFonts w:ascii="Arial" w:eastAsia="Arial" w:hAnsi="Arial" w:cs="Arial"/>
          <w:sz w:val="24"/>
          <w:szCs w:val="24"/>
        </w:rPr>
        <w:t>-</w:t>
      </w:r>
      <w:r>
        <w:rPr>
          <w:rFonts w:ascii="Arial" w:eastAsia="Arial" w:hAnsi="Arial" w:cs="Arial"/>
          <w:sz w:val="24"/>
          <w:szCs w:val="24"/>
        </w:rPr>
        <w:t xml:space="preserve">week course will include various aspects of the agriculture industry including, but not limited to, livestock management, soil and water conservation, horticulture, forestry, and others. The objective of the course will be to cultivate an appreciation for the Commonwealth’s agricultural roots and spark interest in developing and innovating </w:t>
      </w:r>
      <w:r w:rsidR="00DA24EB">
        <w:rPr>
          <w:rFonts w:ascii="Arial" w:eastAsia="Arial" w:hAnsi="Arial" w:cs="Arial"/>
          <w:sz w:val="24"/>
          <w:szCs w:val="24"/>
        </w:rPr>
        <w:t>improvements for success in the future.</w:t>
      </w:r>
    </w:p>
    <w:p w14:paraId="6E4F3BA4" w14:textId="77777777" w:rsidR="00CC6636" w:rsidRDefault="00CC6636">
      <w:pPr>
        <w:rPr>
          <w:rFonts w:ascii="Arial" w:eastAsia="Arial" w:hAnsi="Arial" w:cs="Arial"/>
          <w:sz w:val="24"/>
          <w:szCs w:val="24"/>
        </w:rPr>
      </w:pPr>
    </w:p>
    <w:p w14:paraId="70AFF152" w14:textId="773B96D2" w:rsidR="00B67DE1" w:rsidRDefault="0080679E" w:rsidP="00E43912">
      <w:pPr>
        <w:pStyle w:val="BodyText"/>
        <w:spacing w:line="360" w:lineRule="auto"/>
        <w:ind w:left="490" w:right="115"/>
      </w:pPr>
      <w:r>
        <w:rPr>
          <w:b/>
        </w:rPr>
        <w:t xml:space="preserve">Section </w:t>
      </w:r>
      <w:r w:rsidR="00E43912">
        <w:rPr>
          <w:b/>
        </w:rPr>
        <w:t>I</w:t>
      </w:r>
      <w:r>
        <w:rPr>
          <w:b/>
        </w:rPr>
        <w:t xml:space="preserve">II: </w:t>
      </w:r>
      <w:r w:rsidR="004678C7">
        <w:t>The cost of the development and implementation will be accounted for in the upcoming budget, which will reflect a 0.025% increase of the state’s collection of sin tax on alcoholic beverages to provide for the funds.</w:t>
      </w:r>
    </w:p>
    <w:p w14:paraId="5AA0114C" w14:textId="076014A0" w:rsidR="00B67DE1" w:rsidRPr="00DE71D0" w:rsidRDefault="00121EA0" w:rsidP="00DA24EB">
      <w:pPr>
        <w:pStyle w:val="BodyText"/>
        <w:spacing w:line="360" w:lineRule="auto"/>
        <w:ind w:left="490" w:right="115"/>
      </w:pPr>
      <w:r>
        <w:rPr>
          <w:b/>
        </w:rPr>
        <w:t>Section IV:</w:t>
      </w:r>
      <w:r>
        <w:t xml:space="preserve"> </w:t>
      </w:r>
      <w:r w:rsidR="00DA24EB">
        <w:t>The course will be developed and provided to the various districts by July 1, 20</w:t>
      </w:r>
      <w:r w:rsidR="00804E05">
        <w:t>2</w:t>
      </w:r>
      <w:r w:rsidR="009C3D89">
        <w:t>1</w:t>
      </w:r>
      <w:r w:rsidR="00DA24EB">
        <w:t>.</w:t>
      </w:r>
    </w:p>
    <w:p w14:paraId="49C481E7" w14:textId="77777777" w:rsidR="00B67DE1" w:rsidRDefault="00B67DE1">
      <w:pPr>
        <w:rPr>
          <w:rFonts w:ascii="Arial" w:eastAsia="Arial" w:hAnsi="Arial" w:cs="Arial"/>
          <w:sz w:val="24"/>
          <w:szCs w:val="24"/>
        </w:rPr>
      </w:pPr>
    </w:p>
    <w:p w14:paraId="12B846F9" w14:textId="3BACAF5A" w:rsidR="00B67DE1" w:rsidRPr="00121EA0" w:rsidRDefault="0080679E">
      <w:pPr>
        <w:pStyle w:val="BodyText"/>
        <w:ind w:left="135" w:firstLine="0"/>
      </w:pPr>
      <w:r>
        <w:rPr>
          <w:b/>
        </w:rPr>
        <w:t xml:space="preserve">Section </w:t>
      </w:r>
      <w:r>
        <w:rPr>
          <w:b/>
          <w:spacing w:val="-1"/>
        </w:rPr>
        <w:t>V</w:t>
      </w:r>
      <w:r w:rsidR="00121EA0">
        <w:rPr>
          <w:b/>
          <w:spacing w:val="-1"/>
        </w:rPr>
        <w:t>II</w:t>
      </w:r>
      <w:r>
        <w:rPr>
          <w:b/>
          <w:spacing w:val="-1"/>
        </w:rPr>
        <w:t xml:space="preserve">: </w:t>
      </w:r>
      <w:r w:rsidR="00DA24EB">
        <w:rPr>
          <w:spacing w:val="-1"/>
        </w:rPr>
        <w:t>This bill takes effect on July 1, 20</w:t>
      </w:r>
      <w:r w:rsidR="009C3D89">
        <w:rPr>
          <w:spacing w:val="-1"/>
        </w:rPr>
        <w:t>20</w:t>
      </w:r>
      <w:bookmarkStart w:id="0" w:name="_GoBack"/>
      <w:bookmarkEnd w:id="0"/>
      <w:r w:rsidR="00DA24EB">
        <w:rPr>
          <w:spacing w:val="-1"/>
        </w:rPr>
        <w:t>.</w:t>
      </w:r>
    </w:p>
    <w:sectPr w:rsidR="00B67DE1" w:rsidRPr="00121EA0">
      <w:type w:val="continuous"/>
      <w:pgSz w:w="12240" w:h="15840"/>
      <w:pgMar w:top="940" w:right="5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1"/>
    <w:rsid w:val="000C3D35"/>
    <w:rsid w:val="00121EA0"/>
    <w:rsid w:val="001A5B9A"/>
    <w:rsid w:val="00300159"/>
    <w:rsid w:val="004678C7"/>
    <w:rsid w:val="00495EB8"/>
    <w:rsid w:val="005669F4"/>
    <w:rsid w:val="00656DAD"/>
    <w:rsid w:val="00804E05"/>
    <w:rsid w:val="0080679E"/>
    <w:rsid w:val="0097452B"/>
    <w:rsid w:val="009C29D8"/>
    <w:rsid w:val="009C3D89"/>
    <w:rsid w:val="00B67DE1"/>
    <w:rsid w:val="00C0738E"/>
    <w:rsid w:val="00C87025"/>
    <w:rsid w:val="00C9236A"/>
    <w:rsid w:val="00CC6636"/>
    <w:rsid w:val="00CE1C17"/>
    <w:rsid w:val="00D85509"/>
    <w:rsid w:val="00DA24EB"/>
    <w:rsid w:val="00DE71D0"/>
    <w:rsid w:val="00E43912"/>
    <w:rsid w:val="00F70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0C32F"/>
  <w15:docId w15:val="{73DC1454-27EA-4CDA-907E-CAAA861F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2"/>
      <w:ind w:left="495"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Malorie</dc:creator>
  <cp:lastModifiedBy>Virginia Hobbs</cp:lastModifiedBy>
  <cp:revision>2</cp:revision>
  <dcterms:created xsi:type="dcterms:W3CDTF">2020-01-01T20:45:00Z</dcterms:created>
  <dcterms:modified xsi:type="dcterms:W3CDTF">2020-01-01T20:45:00Z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2016-04-21T00:00:00Z</vt:filetime>
  </property>
</Properties>
</file>